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F1534" w:rsidRPr="00E44004" w:rsidRDefault="006258D0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  <w:lang w:val="es-CO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  <w:lang w:val="es-CO"/>
        </w:rPr>
        <w:t>P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INTURA Y EXPRESIÓN</w:t>
      </w:r>
    </w:p>
    <w:p w:rsidR="007B2E26" w:rsidRDefault="007B2E26" w:rsidP="007B2E26">
      <w:pPr>
        <w:rPr>
          <w:lang w:val="en-US"/>
        </w:rPr>
      </w:pPr>
    </w:p>
    <w:p w:rsidR="007B2E26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7B2E26" w:rsidRPr="00A9780D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Objetivo</w:t>
            </w:r>
            <w:r w:rsidR="00192D0B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:rsidR="00C05323" w:rsidRDefault="00FD22A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FD22AB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Generar un diálogo con las niñas, niños y adolescentes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(NNA)</w:t>
            </w:r>
            <w:r w:rsidRPr="00FD22AB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para reconocer sus percepciones acerca de la calidad en el consumo de alimentos en los entornos en los que transcurren sus vidas.  </w:t>
            </w:r>
          </w:p>
          <w:p w:rsidR="00FD22AB" w:rsidRDefault="00FD22A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192D0B" w:rsidRPr="00192D0B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Esta herramientas es útil para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-crear</w:t>
            </w:r>
            <w:r w:rsidR="00C053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plantear</w:t>
            </w:r>
            <w:r w:rsidR="00C053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Número de </w:t>
            </w:r>
            <w:r w:rsidR="00C05323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:rsidR="00C05323" w:rsidRPr="00FD22AB" w:rsidRDefault="00FD22AB" w:rsidP="00C05323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Hasta 20 niñas, niños, y adole</w:t>
            </w:r>
            <w:r w:rsidRPr="00FD22AB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scentes</w:t>
            </w:r>
          </w:p>
          <w:p w:rsidR="00A9780D" w:rsidRPr="007B2E26" w:rsidRDefault="00C05323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(Se pueden hacer varios grupos simultáneamente.)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</w:t>
            </w: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uración</w:t>
            </w:r>
          </w:p>
        </w:tc>
        <w:tc>
          <w:tcPr>
            <w:tcW w:w="7528" w:type="dxa"/>
            <w:shd w:val="clear" w:color="auto" w:fill="auto"/>
          </w:tcPr>
          <w:p w:rsidR="00A9780D" w:rsidRPr="006467E0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highlight w:val="yellow"/>
                <w:lang w:val="es-CO"/>
                <w14:ligatures w14:val="none"/>
              </w:rPr>
            </w:pPr>
            <w:r w:rsidRP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Entre </w:t>
            </w:r>
            <w:r w:rsidR="00182B98" w:rsidRP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dos</w:t>
            </w:r>
            <w:r w:rsidRP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</w:t>
            </w:r>
            <w:r w:rsidR="00182B98" w:rsidRP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tres</w:t>
            </w:r>
            <w:r w:rsidRP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horas. 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E44004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44004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:rsidR="006467E0" w:rsidRDefault="006467E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Pelota pequeña</w:t>
            </w:r>
          </w:p>
          <w:p w:rsidR="006467E0" w:rsidRDefault="006467E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I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mpresiones tamaño carta a color de grupos de alimentos de frutas, verduras, comida caliente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comida chatarra. </w:t>
            </w:r>
          </w:p>
          <w:p w:rsidR="006467E0" w:rsidRPr="006467E0" w:rsidRDefault="006467E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Un semáforo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realizado en tres pliegos de papel 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Kraft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(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un color por pliego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: pliego 1 verde, pliego 2 amarillo, y pliego 3 rojo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).</w:t>
            </w:r>
          </w:p>
          <w:p w:rsidR="006467E0" w:rsidRDefault="0014011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</w:t>
            </w:r>
            <w:r w:rsidR="006467E0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apel 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Kraft</w:t>
            </w:r>
          </w:p>
          <w:p w:rsidR="006467E0" w:rsidRDefault="0014011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M</w:t>
            </w:r>
            <w:r w:rsidR="006467E0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arcadores </w:t>
            </w:r>
          </w:p>
          <w:p w:rsidR="006467E0" w:rsidRDefault="0014011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</w:t>
            </w:r>
            <w:r w:rsidR="006467E0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olores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y/o temperas</w:t>
            </w:r>
            <w:r w:rsidR="006467E0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</w:p>
          <w:p w:rsidR="006467E0" w:rsidRPr="006467E0" w:rsidRDefault="00140110" w:rsidP="006467E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</w:t>
            </w:r>
            <w:r w:rsidR="006467E0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emperas. </w:t>
            </w:r>
          </w:p>
          <w:p w:rsidR="006467E0" w:rsidRPr="006467E0" w:rsidRDefault="006467E0" w:rsidP="006467E0">
            <w:pPr>
              <w:pStyle w:val="ListParagrap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9780D" w:rsidRPr="006467E0" w:rsidRDefault="006467E0" w:rsidP="006467E0">
            <w:p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Se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sugiere </w:t>
            </w:r>
            <w:r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que la elección de los alimentos se haga de acuerdo al contexto, cultura y consumo real de las niñas, niños y adolescentes participantes.</w:t>
            </w:r>
            <w:r w:rsidR="00A9780D" w:rsidRPr="006467E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br/>
              <w:t> 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Paso a paso para </w:t>
            </w: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Alistamiento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140110" w:rsidRPr="00140110" w:rsidRDefault="00A9780D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Seleccione y convoque participantes representativos de acuerdo con el objetivo del espacio.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Se sugiere contactar al </w:t>
            </w:r>
            <w:r w:rsidR="00140110"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enlace territorial que trabaje con NNA</w:t>
            </w:r>
            <w:r w:rsid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. </w:t>
            </w:r>
          </w:p>
          <w:p w:rsidR="00140110" w:rsidRPr="00140110" w:rsidRDefault="00140110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A través del enlace o con su apoyo convoque las mesas de participación de niñas, niños y adolescentes y otras formas de participación organizada presentes en el territorio. </w:t>
            </w:r>
          </w:p>
          <w:p w:rsidR="00140110" w:rsidRPr="00140110" w:rsidRDefault="00140110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Dentro de la metodología desarrolle una actividad en la cual se presente la RMBC de una manera sencilla y práctica.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Considere utilizar apoyos visuales que hagan referencia al trabajo colaborativo o articulado para facilitar la comprensión.</w:t>
            </w:r>
          </w:p>
          <w:p w:rsidR="00140110" w:rsidRPr="00140110" w:rsidRDefault="00140110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Identifique un lugar apropiado y seguro para la realización del evento.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Esto es, un lugar </w:t>
            </w:r>
            <w:r w:rsid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que propicie que los NNA estén protegidos y que, por ende, puedan desarrollar todo su potencial.</w:t>
            </w:r>
          </w:p>
          <w:p w:rsidR="00140110" w:rsidRPr="00140110" w:rsidRDefault="00140110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lastRenderedPageBreak/>
              <w:t xml:space="preserve">Defina el equipo de profesionales que requiere para la realización de la actividad y realice con este una capacitación en la cual haya aportes y se solucionen dudas. </w:t>
            </w:r>
          </w:p>
          <w:p w:rsidR="00140110" w:rsidRPr="00140110" w:rsidRDefault="00140110" w:rsidP="00140110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En la medida de lo posible</w:t>
            </w:r>
            <w:r w:rsid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tenga un espacio previo</w:t>
            </w:r>
            <w:r w:rsid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(puede ser virtual)</w:t>
            </w:r>
            <w:r w:rsidRPr="0014011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con las niñas, niños y adolescentes participantes en el cual identifique sus expectativas y saberes previos.</w:t>
            </w: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Desarrollo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C32E1" w:rsidRDefault="00AC32E1" w:rsidP="007B2E26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Reúna a las niñas, niños y adolescentes participantes en el espacio seleccionado y realice la presentación dinámica y sencilla de lo que es y </w:t>
            </w:r>
            <w:r w:rsid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lo que 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significa la RMBC</w:t>
            </w:r>
            <w:r w:rsidR="00182B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="002A5B3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Posteriormente desarrolle de manera secuencial tres estaciones, tal como se muestra a continuación.</w:t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Estación 1</w:t>
            </w:r>
            <w:r w:rsidR="00182B98"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-</w:t>
            </w: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Adivinanza de los alimentos: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onforme grupos de cuatro, máximo cinco niñas y niños para llevar a cabo la primera estación de juego. En esta estación el facilitador tiene en sus manos una serie de fichas con dibujos de alimentos crudos, naturales, cocidos y ultra procesados. Cada equipo se prepara para pasar al frente, tomar una ficha de manera aleatoria y escoger un representante. Con la ayuda del equipo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el representante dará pistas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—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tanto habladas como simbólicas a los demás equipos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—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acerca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del alimento que eligió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. Los 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 demás deben adivinar el nombre de ese alimento. Así sucesivamente van pasando los equipos y el que más alimentos adivine será el ganador.</w:t>
            </w:r>
          </w:p>
          <w:p w:rsidR="00502E5E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En esta primera estación se evidencia el conocimiento que tienen las niñas y niños de los alimentos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 P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osiblemente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alguno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alimentos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no sean reconocidos por los equipos, entonces el facilitador debe intervenir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para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mostrarlo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explicar qué alimento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son; en este caso, 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ningún equipo tendrá puntos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a favor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. </w:t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En este juego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el equipo técnico tendrá un panorama ágil del conocimiento que tienen las y los participantes 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sobre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los alimentos. La idea es que se elijan fichas de los 4 grupos de alimentos para que se visualicen todos ante los participantes. No todas las fichas deben exponerse, esto depende del tiempo. </w:t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Estación 2</w:t>
            </w:r>
            <w:r w:rsidR="00182B98"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-</w:t>
            </w: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Semáforo nutricional: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 </w:t>
            </w:r>
            <w:r w:rsidR="009E2698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 dispone un semáforo elaborado en papel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ubicado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en el suelo del salón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 En este punto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 les explica a las niñas y niños que deben ubicar las fichas con los alimentos en cada color, dependiendo de las veces que ellos consideren que se deben consumir o no por su valor nutricional, así: en la parte roja, los que nunca se deben consumir; en la parte amarilla los que se deben consumir dos o tres veces por semana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y en la parte verde los alimentos que se siempre se deben consumir por su valor nutricional. </w:t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lastRenderedPageBreak/>
              <w:t>Las fichas de alimentos se ponen esparcidas sobre una mesa y en los mismos grupos que tenían en la actividad anterior, van tomando de a una ficha por grupo, la analizan, discuten y en consenso deciden d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ó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nde debería ir. Y así, sucesivamente, cada grupo va pasando y tomando la decisión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 A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l ponerla en el color que elijan, explican por qué creen que debe ir en ese color y pasa el siguiente grupo. </w:t>
            </w:r>
          </w:p>
          <w:p w:rsidR="00182B98" w:rsidRDefault="00182B98" w:rsidP="00182B98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182B98" w:rsidRDefault="00182B98" w:rsidP="00182B98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182B98" w:rsidRDefault="00182B98" w:rsidP="00182B98">
            <w:pPr>
              <w:jc w:val="center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57326FB" wp14:editId="0DAB6B17">
                  <wp:extent cx="4290060" cy="2549753"/>
                  <wp:effectExtent l="0" t="0" r="0" b="3175"/>
                  <wp:docPr id="300389433" name="Imagen 1" descr="Interfaz de usuario gráfica, Aplicación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9433" name="Imagen 1" descr="Interfaz de usuario gráfica, Aplicación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41005" t="31182" r="15818" b="20512"/>
                          <a:stretch/>
                        </pic:blipFill>
                        <pic:spPr bwMode="auto">
                          <a:xfrm>
                            <a:off x="0" y="0"/>
                            <a:ext cx="4313189" cy="25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Al finalizar la actividad el adulto experto que acompaña el grupo rápidamente debe revisar si los alimentos quedaron en el lugar correcto y si no, debe moverlos y explicar por qué no debe quedar en ese color, esto con el fin de que las niñas y los niños tengan un mayor nivel de comprensión de la calidad de los alimentos que consumen cotidianamente. </w:t>
            </w:r>
          </w:p>
          <w:p w:rsid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Estación </w:t>
            </w:r>
            <w:r w:rsidR="00182B98"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3-</w:t>
            </w:r>
            <w:r w:rsidRPr="00182B98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Expresarte: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 consiste en que las niñas y niños por grupos respondan 3 preguntas a través de dibujos que realizarán en pliegos de papel con colores y témperas. </w:t>
            </w:r>
          </w:p>
          <w:p w:rsidR="00AC32E1" w:rsidRPr="00AC32E1" w:rsidRDefault="00AC32E1" w:rsidP="00AC32E1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Las preguntas buscan identificar los alimentos saludables y poco saludables que consumen en tres entornos: el hogar, el colegio y el espacio público, entendido este último como la oferta de alimentos que hay en tiendas, supermercados, restaurantes y ventas ambulantes. Adicional a esto, se les preguntará cómo creen que se podría mejorar este consumo por cada entorno. Al final de esto cada grupo expone. </w:t>
            </w:r>
          </w:p>
          <w:p w:rsidR="00AC32E1" w:rsidRPr="00AC32E1" w:rsidRDefault="00AC32E1" w:rsidP="00AC32E1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GRUPO 1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saludables consumen en el hogar?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poco o nada saludables consumen en el hogar?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¿Cómo se puede mejorar este consumo?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GRUPO 2 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saludables consumen en el colegio?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poco o nada saludables consumen en el colegio?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¿Cómo se puede mejorar este consumo?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GRUPO 3 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saludables consumen en el espacio público?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¿Qué alimentos poco o nada saludables consumen en el espacio público?</w:t>
            </w:r>
          </w:p>
          <w:p w:rsidR="00AC32E1" w:rsidRPr="00AC32E1" w:rsidRDefault="00AC32E1" w:rsidP="00AC32E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¿Cómo se puede mejorar este consumo?</w:t>
            </w:r>
          </w:p>
          <w:p w:rsidR="00AC32E1" w:rsidRPr="00AC32E1" w:rsidRDefault="00AC32E1" w:rsidP="00AC32E1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C32E1" w:rsidRPr="00AC32E1" w:rsidRDefault="00AC32E1" w:rsidP="00AC32E1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Sistematización </w:t>
            </w:r>
          </w:p>
          <w:p w:rsidR="00AC32E1" w:rsidRPr="00AC32E1" w:rsidRDefault="00AC32E1" w:rsidP="00AC32E1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C32E1" w:rsidRPr="00AC32E1" w:rsidRDefault="00AC32E1" w:rsidP="00AC32E1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El ejercicio de sistematización sale de cada estación y 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donde se hace </w:t>
            </w:r>
            <w:r w:rsidRPr="00AC32E1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una descripción detallada de la experiencia, de las conclusiones de las niñas, niños y adolescentes, de sus preguntas y de sus propuestas. Es vital tener el registro fotográfico de la actividad y hacer la transcripción de los dibujos, frases, palabras resultantes de cada estación, con el objetivo de ser lo más preciso posible.</w:t>
            </w:r>
          </w:p>
          <w:p w:rsidR="00A9780D" w:rsidRPr="00AC32E1" w:rsidRDefault="00A9780D" w:rsidP="00AC32E1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De preferencia la actividad debe ser sincrónica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Hay que identificar que el público objetivo conozca las herramientas digitales con antelación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 y que, estén acompañados de un adulto responsable que pueda ayudarles.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Debe explicarse la forma de uso de la plataforma que se esté empleando (por ejemplo Microsoft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</w:t>
            </w:r>
          </w:p>
          <w:p w:rsidR="00142923" w:rsidRPr="00142923" w:rsidRDefault="005F67AE" w:rsidP="005F67AE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5F67A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Recomendación: </w:t>
            </w:r>
            <w:r w:rsidR="00502E5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 sugiere mantener los dibujos en físico y habilitar un correo o canal que permita que los niños, niñas y adolescentes envíen sus dibujos al finalizar la sesión.</w:t>
            </w:r>
          </w:p>
        </w:tc>
      </w:tr>
    </w:tbl>
    <w:p w:rsidR="007B2E26" w:rsidRPr="00142923" w:rsidRDefault="007B2E26" w:rsidP="007B2E26">
      <w:pPr>
        <w:rPr>
          <w:lang w:val="es-CO"/>
        </w:rPr>
      </w:pPr>
    </w:p>
    <w:sectPr w:rsidR="007B2E26" w:rsidRPr="00142923" w:rsidSect="00E4400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AED" w:rsidRDefault="00BB5AED" w:rsidP="003F1534">
      <w:r>
        <w:separator/>
      </w:r>
    </w:p>
  </w:endnote>
  <w:endnote w:type="continuationSeparator" w:id="0">
    <w:p w:rsidR="00BB5AED" w:rsidRDefault="00BB5AED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AED" w:rsidRDefault="00BB5AED" w:rsidP="003F1534">
      <w:r>
        <w:separator/>
      </w:r>
    </w:p>
  </w:footnote>
  <w:footnote w:type="continuationSeparator" w:id="0">
    <w:p w:rsidR="00BB5AED" w:rsidRDefault="00BB5AED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DA91" wp14:editId="04D9C8C4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F97"/>
    <w:multiLevelType w:val="multilevel"/>
    <w:tmpl w:val="EBD260C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124111"/>
    <w:multiLevelType w:val="multilevel"/>
    <w:tmpl w:val="EBD260C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0"/>
  </w:num>
  <w:num w:numId="2" w16cid:durableId="404491536">
    <w:abstractNumId w:val="5"/>
  </w:num>
  <w:num w:numId="3" w16cid:durableId="2138374323">
    <w:abstractNumId w:val="6"/>
  </w:num>
  <w:num w:numId="4" w16cid:durableId="1117799661">
    <w:abstractNumId w:val="19"/>
  </w:num>
  <w:num w:numId="5" w16cid:durableId="1978024041">
    <w:abstractNumId w:val="1"/>
  </w:num>
  <w:num w:numId="6" w16cid:durableId="1675571122">
    <w:abstractNumId w:val="11"/>
  </w:num>
  <w:num w:numId="7" w16cid:durableId="1261765177">
    <w:abstractNumId w:val="13"/>
  </w:num>
  <w:num w:numId="8" w16cid:durableId="1883325217">
    <w:abstractNumId w:val="9"/>
  </w:num>
  <w:num w:numId="9" w16cid:durableId="2090691073">
    <w:abstractNumId w:val="2"/>
  </w:num>
  <w:num w:numId="10" w16cid:durableId="2131512767">
    <w:abstractNumId w:val="17"/>
  </w:num>
  <w:num w:numId="11" w16cid:durableId="1996302181">
    <w:abstractNumId w:val="18"/>
  </w:num>
  <w:num w:numId="12" w16cid:durableId="290794600">
    <w:abstractNumId w:val="3"/>
  </w:num>
  <w:num w:numId="13" w16cid:durableId="1225530015">
    <w:abstractNumId w:val="4"/>
  </w:num>
  <w:num w:numId="14" w16cid:durableId="260456977">
    <w:abstractNumId w:val="7"/>
  </w:num>
  <w:num w:numId="15" w16cid:durableId="2000690665">
    <w:abstractNumId w:val="0"/>
  </w:num>
  <w:num w:numId="16" w16cid:durableId="684483678">
    <w:abstractNumId w:val="8"/>
  </w:num>
  <w:num w:numId="17" w16cid:durableId="1209294769">
    <w:abstractNumId w:val="15"/>
  </w:num>
  <w:num w:numId="18" w16cid:durableId="243993241">
    <w:abstractNumId w:val="14"/>
  </w:num>
  <w:num w:numId="19" w16cid:durableId="1143885972">
    <w:abstractNumId w:val="16"/>
  </w:num>
  <w:num w:numId="20" w16cid:durableId="1609966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140110"/>
    <w:rsid w:val="00142923"/>
    <w:rsid w:val="00146537"/>
    <w:rsid w:val="00182B98"/>
    <w:rsid w:val="00192D0B"/>
    <w:rsid w:val="001C5447"/>
    <w:rsid w:val="001F1E67"/>
    <w:rsid w:val="002020C0"/>
    <w:rsid w:val="002073F2"/>
    <w:rsid w:val="00244FD3"/>
    <w:rsid w:val="002A5B38"/>
    <w:rsid w:val="002B7C17"/>
    <w:rsid w:val="00395A4D"/>
    <w:rsid w:val="003B05A1"/>
    <w:rsid w:val="003F1534"/>
    <w:rsid w:val="00404DF3"/>
    <w:rsid w:val="004C6915"/>
    <w:rsid w:val="004C71D2"/>
    <w:rsid w:val="00502E5E"/>
    <w:rsid w:val="005F67AE"/>
    <w:rsid w:val="006258D0"/>
    <w:rsid w:val="0063744E"/>
    <w:rsid w:val="006467E0"/>
    <w:rsid w:val="007B2E26"/>
    <w:rsid w:val="007E750F"/>
    <w:rsid w:val="008A69FF"/>
    <w:rsid w:val="008C21F3"/>
    <w:rsid w:val="00965A77"/>
    <w:rsid w:val="009E2698"/>
    <w:rsid w:val="00A33252"/>
    <w:rsid w:val="00A9780D"/>
    <w:rsid w:val="00AC32E1"/>
    <w:rsid w:val="00AD35BA"/>
    <w:rsid w:val="00B35820"/>
    <w:rsid w:val="00BB5AED"/>
    <w:rsid w:val="00C05323"/>
    <w:rsid w:val="00D50D2D"/>
    <w:rsid w:val="00E44004"/>
    <w:rsid w:val="00EC1301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557C85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15</cp:revision>
  <dcterms:created xsi:type="dcterms:W3CDTF">2025-04-30T20:13:00Z</dcterms:created>
  <dcterms:modified xsi:type="dcterms:W3CDTF">2025-05-27T20:15:00Z</dcterms:modified>
</cp:coreProperties>
</file>